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812F7" w:rsidRDefault="003812F7" w:rsidP="008110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11060" w:rsidRPr="00811060">
        <w:rPr>
          <w:rFonts w:ascii="Times New Roman" w:hAnsi="Times New Roman" w:cs="Times New Roman"/>
          <w:b/>
          <w:sz w:val="28"/>
          <w:szCs w:val="28"/>
        </w:rPr>
        <w:t xml:space="preserve">14.10.2024 года № 932 «О внесении изменений в постановление администрации Подгоренского муниципального района Воронежской области от 22.03.2023 г. № 148 «Об утверждении схемы размещения нестационарных объектов торговли на территории </w:t>
      </w:r>
      <w:r w:rsidR="0081106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11060" w:rsidRPr="00811060">
        <w:rPr>
          <w:rFonts w:ascii="Times New Roman" w:hAnsi="Times New Roman" w:cs="Times New Roman"/>
          <w:b/>
          <w:sz w:val="28"/>
          <w:szCs w:val="28"/>
        </w:rPr>
        <w:t>Подгоренского городского поселения»</w:t>
      </w:r>
    </w:p>
    <w:p w:rsidR="00811060" w:rsidRPr="00895406" w:rsidRDefault="00811060" w:rsidP="00811060">
      <w:pPr>
        <w:pStyle w:val="a5"/>
        <w:jc w:val="center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10353F" w:rsidRPr="00DF07E6" w:rsidRDefault="003812F7" w:rsidP="00103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sz w:val="28"/>
          <w:szCs w:val="28"/>
        </w:rPr>
        <w:t xml:space="preserve">от </w:t>
      </w:r>
      <w:r w:rsidR="00811060" w:rsidRPr="00811060">
        <w:rPr>
          <w:rFonts w:ascii="Times New Roman" w:hAnsi="Times New Roman" w:cs="Times New Roman"/>
          <w:sz w:val="28"/>
          <w:szCs w:val="28"/>
        </w:rPr>
        <w:t>14.10.2024 года № 932 «О внесении изменений в постановление администрации Подгоренского муниципального района Воронежской области от 22.03.2023 г. № 148 «Об утверждении схемы размещения нестационарных объектов торговли на территории Подгоренского городского поселения»</w:t>
      </w:r>
      <w:r w:rsidR="00811060">
        <w:rPr>
          <w:rFonts w:ascii="Times New Roman" w:hAnsi="Times New Roman" w:cs="Times New Roman"/>
          <w:sz w:val="28"/>
          <w:szCs w:val="28"/>
        </w:rPr>
        <w:t xml:space="preserve"> </w:t>
      </w:r>
      <w:r w:rsidR="0010353F" w:rsidRPr="0010353F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DF07E6" w:rsidRPr="00DF07E6">
        <w:rPr>
          <w:rFonts w:ascii="Times New Roman" w:hAnsi="Times New Roman" w:cs="Times New Roman"/>
          <w:sz w:val="28"/>
          <w:szCs w:val="28"/>
        </w:rPr>
        <w:t>соблюдения действующего законодательства при размещении нестационарных объектов торговли на территории Подгоренского городского поселения Подгоренского муниципального района Воронежской области.</w:t>
      </w:r>
      <w:proofErr w:type="gramEnd"/>
    </w:p>
    <w:p w:rsidR="0042070C" w:rsidRDefault="0042070C" w:rsidP="0079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F10A18" w:rsidRPr="00F10A18" w:rsidRDefault="00F10A18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 w:rsidRPr="00F10A18">
        <w:rPr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F10A18" w:rsidRPr="00F10A18" w:rsidRDefault="00F10A18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 w:rsidRPr="00F10A1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42070C" w:rsidRPr="009C6AB9" w:rsidRDefault="0042070C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6A65F3" w:rsidRPr="00DB7556" w:rsidRDefault="00BF04FC" w:rsidP="006A65F3">
      <w:pPr>
        <w:pStyle w:val="Style4"/>
        <w:ind w:firstLine="680"/>
        <w:jc w:val="both"/>
        <w:rPr>
          <w:bCs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Постановление разработано </w:t>
      </w:r>
      <w:r w:rsidRPr="00DB7556">
        <w:rPr>
          <w:bCs/>
          <w:sz w:val="28"/>
          <w:szCs w:val="28"/>
        </w:rPr>
        <w:t xml:space="preserve">в соответствии </w:t>
      </w:r>
      <w:r w:rsidR="00DB7556" w:rsidRPr="00DB7556">
        <w:rPr>
          <w:bCs/>
          <w:sz w:val="28"/>
          <w:szCs w:val="28"/>
        </w:rPr>
        <w:t>с  пунктом  3  статьи  10  Федерального  закона    РФ    от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22.11.2022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объектов».</w:t>
      </w:r>
      <w:proofErr w:type="gramEnd"/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lastRenderedPageBreak/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Pr="00AD0BA7" w:rsidRDefault="00BF04FC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A7">
        <w:rPr>
          <w:rFonts w:ascii="Times New Roman" w:hAnsi="Times New Roman" w:cs="Times New Roman"/>
          <w:sz w:val="28"/>
          <w:szCs w:val="28"/>
        </w:rPr>
        <w:t>С</w:t>
      </w:r>
      <w:r w:rsidR="0042070C" w:rsidRPr="00AD0BA7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 w:rsidRPr="00AD0BA7">
        <w:rPr>
          <w:rFonts w:ascii="Times New Roman" w:hAnsi="Times New Roman" w:cs="Times New Roman"/>
          <w:sz w:val="28"/>
          <w:szCs w:val="28"/>
        </w:rPr>
        <w:t>малого</w:t>
      </w:r>
      <w:r w:rsidR="00C74490" w:rsidRPr="00AD0BA7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9C6AB9" w:rsidRPr="00AD0BA7">
        <w:rPr>
          <w:rFonts w:ascii="Times New Roman" w:hAnsi="Times New Roman" w:cs="Times New Roman"/>
          <w:sz w:val="28"/>
          <w:szCs w:val="28"/>
        </w:rPr>
        <w:t xml:space="preserve"> </w:t>
      </w:r>
      <w:r w:rsidR="0042070C" w:rsidRPr="00AD0BA7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 w:rsidRPr="00AD0BA7">
        <w:rPr>
          <w:rFonts w:ascii="Times New Roman" w:hAnsi="Times New Roman" w:cs="Times New Roman"/>
          <w:sz w:val="28"/>
          <w:szCs w:val="28"/>
        </w:rPr>
        <w:t>тва</w:t>
      </w:r>
      <w:r w:rsidR="00340287" w:rsidRPr="00AD0BA7">
        <w:rPr>
          <w:rFonts w:ascii="Times New Roman" w:hAnsi="Times New Roman" w:cs="Times New Roman"/>
          <w:sz w:val="28"/>
          <w:szCs w:val="28"/>
        </w:rPr>
        <w:t>,</w:t>
      </w:r>
      <w:r w:rsidRPr="00AD0BA7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AD0BA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на территории </w:t>
      </w:r>
      <w:r w:rsidR="00BB2FE8" w:rsidRPr="00AD0BA7">
        <w:rPr>
          <w:rFonts w:ascii="Times New Roman" w:hAnsi="Times New Roman" w:cs="Times New Roman"/>
          <w:sz w:val="28"/>
          <w:szCs w:val="28"/>
        </w:rPr>
        <w:t>По</w:t>
      </w:r>
      <w:r w:rsidR="00786C56" w:rsidRPr="00AD0BA7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 w:rsidRPr="00AD0BA7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AD0BA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6A65F3" w:rsidRDefault="006A65F3" w:rsidP="00E21D1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65F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от </w:t>
      </w:r>
      <w:r w:rsidR="00811060" w:rsidRPr="00811060">
        <w:rPr>
          <w:rFonts w:ascii="Times New Roman" w:hAnsi="Times New Roman" w:cs="Times New Roman"/>
          <w:sz w:val="28"/>
          <w:szCs w:val="28"/>
        </w:rPr>
        <w:t>14.10.2024 года № 932 «О внесении изменений в постановление администрации Подгоренского муниципального района Воронежской области от 22.03.2023 г. № 148 «Об утверждении схемы размещения нестационарных объектов торговли на территории Подгоренского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позволит достичь поставленные цели </w:t>
      </w:r>
      <w:r w:rsidRPr="006A65F3">
        <w:rPr>
          <w:rFonts w:ascii="Times New Roman" w:hAnsi="Times New Roman" w:cs="Times New Roman"/>
          <w:bCs/>
          <w:sz w:val="28"/>
          <w:szCs w:val="28"/>
        </w:rPr>
        <w:t xml:space="preserve">упорядочения размещения и функционирования нестационарных торговых объектов на территории </w:t>
      </w:r>
      <w:r w:rsidRPr="006A65F3">
        <w:rPr>
          <w:rFonts w:ascii="Times New Roman" w:hAnsi="Times New Roman" w:cs="Times New Roman"/>
          <w:bCs/>
          <w:sz w:val="28"/>
          <w:szCs w:val="28"/>
        </w:rPr>
        <w:lastRenderedPageBreak/>
        <w:t>Подгоренского городского поселения Подгоренского муниципального района Воронежской области, создания условий для</w:t>
      </w:r>
      <w:proofErr w:type="gramEnd"/>
      <w:r w:rsidRPr="006A65F3">
        <w:rPr>
          <w:rFonts w:ascii="Times New Roman" w:hAnsi="Times New Roman" w:cs="Times New Roman"/>
          <w:bCs/>
          <w:sz w:val="28"/>
          <w:szCs w:val="28"/>
        </w:rPr>
        <w:t xml:space="preserve"> улучшения организации и качества торгового обслуживания населения.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0353F"/>
    <w:rsid w:val="001B3CF5"/>
    <w:rsid w:val="002C0C5B"/>
    <w:rsid w:val="002C6396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A65F3"/>
    <w:rsid w:val="006F60DA"/>
    <w:rsid w:val="00705F53"/>
    <w:rsid w:val="007773CF"/>
    <w:rsid w:val="007850EC"/>
    <w:rsid w:val="00786C56"/>
    <w:rsid w:val="007943C8"/>
    <w:rsid w:val="007F5706"/>
    <w:rsid w:val="00811060"/>
    <w:rsid w:val="00836B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D0BA7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816B4"/>
    <w:rsid w:val="00C9512C"/>
    <w:rsid w:val="00CC158A"/>
    <w:rsid w:val="00D213E6"/>
    <w:rsid w:val="00D35A22"/>
    <w:rsid w:val="00D51335"/>
    <w:rsid w:val="00D57842"/>
    <w:rsid w:val="00D63F92"/>
    <w:rsid w:val="00DB7556"/>
    <w:rsid w:val="00DF07E6"/>
    <w:rsid w:val="00E21D19"/>
    <w:rsid w:val="00E967E1"/>
    <w:rsid w:val="00F10A18"/>
    <w:rsid w:val="00F5361A"/>
    <w:rsid w:val="00F6390B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140C-68F4-4F5F-9EEC-0BEAF0F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61</cp:revision>
  <dcterms:created xsi:type="dcterms:W3CDTF">2016-09-21T10:32:00Z</dcterms:created>
  <dcterms:modified xsi:type="dcterms:W3CDTF">2024-11-11T08:51:00Z</dcterms:modified>
</cp:coreProperties>
</file>