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39C" w:rsidRDefault="0033303A" w:rsidP="0032139C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14</w:t>
      </w:r>
      <w:r w:rsidR="0032139C">
        <w:rPr>
          <w:rFonts w:ascii="Times New Roman" w:hAnsi="Times New Roman"/>
          <w:sz w:val="24"/>
        </w:rPr>
        <w:t xml:space="preserve"> к решению Совета народных депутатов Подгоренского</w:t>
      </w:r>
      <w:r w:rsidR="0032139C" w:rsidRPr="00510081">
        <w:rPr>
          <w:rFonts w:ascii="Times New Roman" w:hAnsi="Times New Roman"/>
          <w:sz w:val="24"/>
        </w:rPr>
        <w:t xml:space="preserve"> </w:t>
      </w:r>
      <w:r w:rsidR="0032139C">
        <w:rPr>
          <w:rFonts w:ascii="Times New Roman" w:hAnsi="Times New Roman"/>
          <w:sz w:val="24"/>
        </w:rPr>
        <w:t xml:space="preserve">муниципального района </w:t>
      </w:r>
    </w:p>
    <w:p w:rsidR="0032139C" w:rsidRPr="00116C13" w:rsidRDefault="0032139C" w:rsidP="0032139C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 </w:t>
      </w:r>
      <w:r w:rsidR="00A35C71">
        <w:rPr>
          <w:rFonts w:ascii="Times New Roman" w:hAnsi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 xml:space="preserve"> »</w:t>
      </w:r>
      <w:r w:rsidR="00A35C71">
        <w:rPr>
          <w:rFonts w:ascii="Times New Roman" w:hAnsi="Times New Roman"/>
          <w:sz w:val="24"/>
          <w:szCs w:val="24"/>
        </w:rPr>
        <w:t xml:space="preserve"> декабря</w:t>
      </w:r>
      <w:r>
        <w:rPr>
          <w:rFonts w:ascii="Times New Roman" w:hAnsi="Times New Roman"/>
          <w:sz w:val="24"/>
          <w:szCs w:val="24"/>
        </w:rPr>
        <w:t xml:space="preserve"> 202</w:t>
      </w:r>
      <w:r w:rsidR="007B1483">
        <w:rPr>
          <w:rFonts w:ascii="Times New Roman" w:hAnsi="Times New Roman"/>
          <w:sz w:val="24"/>
          <w:szCs w:val="24"/>
        </w:rPr>
        <w:t>4</w:t>
      </w:r>
      <w:r w:rsidRPr="00116C13">
        <w:rPr>
          <w:rFonts w:ascii="Times New Roman" w:hAnsi="Times New Roman"/>
          <w:sz w:val="24"/>
          <w:szCs w:val="24"/>
        </w:rPr>
        <w:t xml:space="preserve"> г.  № </w:t>
      </w:r>
      <w:r w:rsidR="00A35C71">
        <w:rPr>
          <w:rFonts w:ascii="Times New Roman" w:hAnsi="Times New Roman"/>
          <w:sz w:val="24"/>
          <w:szCs w:val="24"/>
        </w:rPr>
        <w:t>40</w:t>
      </w:r>
      <w:bookmarkStart w:id="0" w:name="_GoBack"/>
      <w:bookmarkEnd w:id="0"/>
    </w:p>
    <w:p w:rsidR="0032139C" w:rsidRDefault="0032139C" w:rsidP="00DD06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690" w:rsidRDefault="007F5835" w:rsidP="00DD0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835">
        <w:rPr>
          <w:rFonts w:ascii="Times New Roman" w:hAnsi="Times New Roman" w:cs="Times New Roman"/>
          <w:b/>
          <w:sz w:val="28"/>
          <w:szCs w:val="28"/>
        </w:rPr>
        <w:t>Методика распределения иных межбюджетных трансфертов, полученных в виде субсидии из областного бюджета бюджет</w:t>
      </w:r>
      <w:r w:rsidR="00DD0690">
        <w:rPr>
          <w:rFonts w:ascii="Times New Roman" w:hAnsi="Times New Roman" w:cs="Times New Roman"/>
          <w:b/>
          <w:sz w:val="28"/>
          <w:szCs w:val="28"/>
        </w:rPr>
        <w:t>ам поселений</w:t>
      </w:r>
      <w:r w:rsidRPr="007F5835">
        <w:rPr>
          <w:rFonts w:ascii="Times New Roman" w:hAnsi="Times New Roman" w:cs="Times New Roman"/>
          <w:b/>
          <w:sz w:val="28"/>
          <w:szCs w:val="28"/>
        </w:rPr>
        <w:t xml:space="preserve"> Подгоренского муниципального района Воронежской области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</w:p>
    <w:p w:rsidR="00FB0F04" w:rsidRDefault="00FB0F04" w:rsidP="00FB0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  <w:r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7F5835" w:rsidRDefault="007F5835" w:rsidP="007F58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7F58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7F5835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roi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</w:rPr>
        <w:t>=</w:t>
      </w:r>
      <w:proofErr w:type="spellStart"/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7F5835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roi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proofErr w:type="spellStart"/>
      <w:r w:rsidRPr="007F5835">
        <w:rPr>
          <w:rFonts w:ascii="Times New Roman" w:hAnsi="Times New Roman" w:cs="Times New Roman"/>
          <w:b/>
          <w:sz w:val="28"/>
          <w:szCs w:val="28"/>
          <w:vertAlign w:val="subscript"/>
        </w:rPr>
        <w:t>ПСобщ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. 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F5835">
        <w:rPr>
          <w:rFonts w:ascii="Times New Roman" w:hAnsi="Times New Roman" w:cs="Times New Roman"/>
          <w:b/>
          <w:sz w:val="28"/>
          <w:szCs w:val="28"/>
        </w:rPr>
        <w:t>где</w:t>
      </w:r>
    </w:p>
    <w:p w:rsidR="007F5835" w:rsidRPr="007F5835" w:rsidRDefault="007F5835" w:rsidP="007F58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835" w:rsidRP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roi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размер </w:t>
      </w:r>
      <w:r w:rsidRPr="007F583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предоставляемых бюджету </w:t>
      </w:r>
      <w:proofErr w:type="spellStart"/>
      <w:r w:rsidRPr="007F583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F583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муниципального образования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P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roi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прогноз транспортной работы (км) </w:t>
      </w:r>
      <w:r w:rsidRPr="007F5835">
        <w:rPr>
          <w:rFonts w:ascii="Times New Roman" w:hAnsi="Times New Roman" w:cs="Times New Roman"/>
          <w:b/>
          <w:sz w:val="28"/>
          <w:szCs w:val="28"/>
        </w:rPr>
        <w:t>по муниципальному маршруту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DD0690" w:rsidRPr="007F583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D0690" w:rsidRPr="007F5835">
        <w:rPr>
          <w:rFonts w:ascii="Times New Roman" w:hAnsi="Times New Roman" w:cs="Times New Roman"/>
          <w:sz w:val="28"/>
          <w:szCs w:val="28"/>
        </w:rPr>
        <w:t>-</w:t>
      </w:r>
      <w:r w:rsidR="00DD0690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D0690">
        <w:rPr>
          <w:rFonts w:ascii="Times New Roman" w:hAnsi="Times New Roman" w:cs="Times New Roman"/>
          <w:sz w:val="28"/>
          <w:szCs w:val="28"/>
        </w:rPr>
        <w:t>образования р</w:t>
      </w:r>
      <w:r>
        <w:rPr>
          <w:rFonts w:ascii="Times New Roman" w:hAnsi="Times New Roman" w:cs="Times New Roman"/>
          <w:sz w:val="28"/>
          <w:szCs w:val="28"/>
        </w:rPr>
        <w:t>егулярных перевозок по регулируемым тарифам за Период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P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ПСобщ</w:t>
      </w:r>
      <w:proofErr w:type="spellEnd"/>
      <w:r w:rsidRPr="007F5835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- прогноз транспортной работы (км) </w:t>
      </w:r>
      <w:r w:rsidRPr="007F583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D0690">
        <w:rPr>
          <w:rFonts w:ascii="Times New Roman" w:hAnsi="Times New Roman" w:cs="Times New Roman"/>
          <w:b/>
          <w:sz w:val="28"/>
          <w:szCs w:val="28"/>
        </w:rPr>
        <w:t xml:space="preserve">всем </w:t>
      </w:r>
      <w:r w:rsidRPr="007F5835">
        <w:rPr>
          <w:rFonts w:ascii="Times New Roman" w:hAnsi="Times New Roman" w:cs="Times New Roman"/>
          <w:b/>
          <w:sz w:val="28"/>
          <w:szCs w:val="28"/>
        </w:rPr>
        <w:t>муниципальным маршрутам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Подгоренского муниципального района регулярных перевозок по регулируемым тарифам за Период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– общий объем трансфертов,</w:t>
      </w:r>
      <w:r w:rsidRPr="007F5835">
        <w:t xml:space="preserve"> </w:t>
      </w:r>
      <w:r w:rsidRPr="007F5835">
        <w:rPr>
          <w:rFonts w:ascii="Times New Roman" w:hAnsi="Times New Roman" w:cs="Times New Roman"/>
          <w:sz w:val="28"/>
          <w:szCs w:val="28"/>
        </w:rPr>
        <w:t xml:space="preserve">полученных в виде субсидии из областного бюджета бюджету Подгоренского муниципального района Воронежской области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  <w:r>
        <w:rPr>
          <w:rFonts w:ascii="Times New Roman" w:hAnsi="Times New Roman" w:cs="Times New Roman"/>
          <w:sz w:val="28"/>
          <w:szCs w:val="28"/>
        </w:rPr>
        <w:t>на территории Подгоренского муниципального района.</w:t>
      </w:r>
    </w:p>
    <w:sectPr w:rsidR="007F5835" w:rsidSect="007D1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24B8A"/>
    <w:multiLevelType w:val="hybridMultilevel"/>
    <w:tmpl w:val="4460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1062"/>
    <w:rsid w:val="00106096"/>
    <w:rsid w:val="0032139C"/>
    <w:rsid w:val="0033303A"/>
    <w:rsid w:val="00453ACA"/>
    <w:rsid w:val="00480EA9"/>
    <w:rsid w:val="0050697C"/>
    <w:rsid w:val="00612B72"/>
    <w:rsid w:val="0067013C"/>
    <w:rsid w:val="007B1483"/>
    <w:rsid w:val="007D1427"/>
    <w:rsid w:val="007F5529"/>
    <w:rsid w:val="007F5835"/>
    <w:rsid w:val="008207BC"/>
    <w:rsid w:val="00A35C71"/>
    <w:rsid w:val="00AF59A5"/>
    <w:rsid w:val="00B47AAF"/>
    <w:rsid w:val="00BB73E7"/>
    <w:rsid w:val="00BF1062"/>
    <w:rsid w:val="00DD0690"/>
    <w:rsid w:val="00E16429"/>
    <w:rsid w:val="00EA2FD5"/>
    <w:rsid w:val="00F05538"/>
    <w:rsid w:val="00FB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5835"/>
    <w:pPr>
      <w:ind w:left="720"/>
      <w:contextualSpacing/>
    </w:pPr>
  </w:style>
  <w:style w:type="table" w:styleId="a4">
    <w:name w:val="Table Grid"/>
    <w:basedOn w:val="a1"/>
    <w:uiPriority w:val="59"/>
    <w:rsid w:val="00820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B0F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32139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отраслевого</dc:creator>
  <cp:keywords/>
  <dc:description/>
  <cp:lastModifiedBy>Антон А. Любченко</cp:lastModifiedBy>
  <cp:revision>15</cp:revision>
  <dcterms:created xsi:type="dcterms:W3CDTF">2022-12-22T11:43:00Z</dcterms:created>
  <dcterms:modified xsi:type="dcterms:W3CDTF">2025-01-14T04:57:00Z</dcterms:modified>
</cp:coreProperties>
</file>