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8"/>
          <w:lang w:eastAsia="ar-SA"/>
        </w:rPr>
      </w:pP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>
        <w:rPr>
          <w:rFonts w:ascii="Arial" w:eastAsia="Times New Roman" w:hAnsi="Arial" w:cs="Arial"/>
          <w:b/>
          <w:caps/>
          <w:sz w:val="26"/>
          <w:szCs w:val="28"/>
          <w:lang w:eastAsia="ar-SA"/>
        </w:rPr>
        <w:t xml:space="preserve">                        </w:t>
      </w:r>
      <w:r>
        <w:rPr>
          <w:rFonts w:ascii="Arial" w:eastAsia="Times New Roman" w:hAnsi="Arial" w:cs="Arial"/>
          <w:b/>
          <w:caps/>
          <w:noProof/>
          <w:sz w:val="26"/>
          <w:szCs w:val="28"/>
          <w:lang w:eastAsia="ru-RU"/>
        </w:rPr>
        <w:drawing>
          <wp:inline distT="0" distB="0" distL="0" distR="0">
            <wp:extent cx="584200" cy="721995"/>
            <wp:effectExtent l="0" t="0" r="6350" b="190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  <w:t xml:space="preserve"> </w:t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СОВЕТ НАРОДНЫХ ДЕПУТАТОВ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 xml:space="preserve">ПОДГОРЕНСКОГО МУНИЦИПАЛЬНОГО РАЙОНА 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ВОРОНЕЖСКОЙ ОБЛАСТИ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РЕШЕНИЕ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</w:pP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от   </w:t>
      </w:r>
      <w:r w:rsidR="00D576EE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>30 мая</w:t>
      </w:r>
      <w:r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 2022</w:t>
      </w:r>
      <w:r w:rsidR="004F422A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</w:t>
      </w: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года  </w:t>
      </w:r>
      <w:r w:rsidR="00102D60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>№</w:t>
      </w:r>
      <w:r w:rsidR="00D576EE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19</w:t>
      </w:r>
      <w:r w:rsidR="00102D60" w:rsidRPr="0058754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       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proofErr w:type="spellStart"/>
      <w:r w:rsidRPr="00747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пгт</w:t>
      </w:r>
      <w:proofErr w:type="spellEnd"/>
      <w:r w:rsidRPr="00747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Подгоренский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C12316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мерах по реализации отдельных</w:t>
      </w:r>
    </w:p>
    <w:p w:rsidR="00D7569D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положений Федерального закона</w:t>
      </w:r>
    </w:p>
    <w:p w:rsidR="0074749F" w:rsidRPr="003956A7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«О противодействии коррупции»</w:t>
      </w:r>
    </w:p>
    <w:p w:rsidR="00102D60" w:rsidRPr="003956A7" w:rsidRDefault="00102D60" w:rsidP="007474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1E6C" w:rsidRPr="0074749F" w:rsidRDefault="006F1E6C" w:rsidP="007474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1E6C" w:rsidRDefault="00E771A4" w:rsidP="00AA50D5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ст.12 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 противодействии коррупции»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Указ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Президента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21.07.2010 №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925 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мерах по реализации отдельных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Федерального закона «О противодействии коррупции»</w:t>
      </w:r>
      <w:r w:rsid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F1E6C" w:rsidRPr="006F1E6C">
        <w:rPr>
          <w:rFonts w:ascii="Times New Roman" w:eastAsia="Calibri" w:hAnsi="Times New Roman" w:cs="Times New Roman"/>
          <w:sz w:val="26"/>
          <w:szCs w:val="26"/>
        </w:rPr>
        <w:t>Совет народных депутатов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r w:rsid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956A7" w:rsidRPr="00395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="003956A7" w:rsidRPr="00395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  <w:r w:rsidR="006F1E6C" w:rsidRPr="006F1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02C82" w:rsidRPr="00B02C82" w:rsidRDefault="00B02C82" w:rsidP="00AA50D5">
      <w:pPr>
        <w:pStyle w:val="2"/>
        <w:spacing w:line="360" w:lineRule="auto"/>
        <w:ind w:right="0" w:firstLine="709"/>
        <w:rPr>
          <w:rFonts w:ascii="Times New Roman" w:hAnsi="Times New Roman" w:cs="Times New Roman"/>
          <w:b w:val="0"/>
          <w:szCs w:val="26"/>
        </w:rPr>
      </w:pP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1. </w:t>
      </w:r>
      <w:proofErr w:type="gramStart"/>
      <w:r w:rsidR="00487774">
        <w:rPr>
          <w:rFonts w:ascii="Times New Roman" w:hAnsi="Times New Roman" w:cs="Times New Roman"/>
          <w:b w:val="0"/>
          <w:szCs w:val="26"/>
          <w:lang w:eastAsia="ru-RU"/>
        </w:rPr>
        <w:t>Установить, что г</w:t>
      </w:r>
      <w:r w:rsidR="00AA50D5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ражданин Российской Федерации, 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замещавший должность муниципальной службы </w:t>
      </w:r>
      <w:r w:rsidR="00B25FD6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Подгоренского 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муниципального района Воронежской области, включенную в перечень должностей </w:t>
      </w:r>
      <w:r w:rsidR="00487774" w:rsidRPr="00AA50D5">
        <w:rPr>
          <w:rFonts w:ascii="Times New Roman" w:hAnsi="Times New Roman" w:cs="Times New Roman"/>
          <w:b w:val="0"/>
          <w:szCs w:val="26"/>
        </w:rPr>
        <w:t xml:space="preserve">Подгоренского муниципального района, </w:t>
      </w:r>
      <w:r w:rsidR="00487774" w:rsidRPr="009C6837">
        <w:rPr>
          <w:rFonts w:ascii="Times New Roman" w:hAnsi="Times New Roman" w:cs="Times New Roman"/>
          <w:b w:val="0"/>
          <w:szCs w:val="26"/>
        </w:rPr>
        <w:t>при назначении на которые и при замещении</w:t>
      </w:r>
      <w:r w:rsidR="00487774" w:rsidRPr="00AA50D5">
        <w:rPr>
          <w:rFonts w:ascii="Times New Roman" w:hAnsi="Times New Roman" w:cs="Times New Roman"/>
          <w:b w:val="0"/>
          <w:szCs w:val="26"/>
        </w:rPr>
        <w:t xml:space="preserve"> </w:t>
      </w:r>
      <w:r w:rsidR="00487774" w:rsidRPr="00AA50D5">
        <w:rPr>
          <w:rFonts w:ascii="Times New Roman" w:hAnsi="Times New Roman" w:cs="Times New Roman"/>
          <w:b w:val="0"/>
          <w:szCs w:val="26"/>
          <w:lang w:eastAsia="ru-RU"/>
        </w:rPr>
        <w:t>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E771A4">
        <w:rPr>
          <w:rFonts w:ascii="Times New Roman" w:hAnsi="Times New Roman" w:cs="Times New Roman"/>
          <w:b w:val="0"/>
          <w:szCs w:val="26"/>
          <w:lang w:eastAsia="ru-RU"/>
        </w:rPr>
        <w:t xml:space="preserve"> детей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>, утвержденный</w:t>
      </w:r>
      <w:proofErr w:type="gramEnd"/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 решением Совета народных депутатов </w:t>
      </w:r>
      <w:r w:rsidR="00B25FD6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Подгоренского </w:t>
      </w:r>
      <w:r w:rsidR="009C6837" w:rsidRPr="00AA50D5">
        <w:rPr>
          <w:rFonts w:ascii="Times New Roman" w:hAnsi="Times New Roman" w:cs="Times New Roman"/>
          <w:b w:val="0"/>
          <w:szCs w:val="26"/>
          <w:lang w:eastAsia="ru-RU"/>
        </w:rPr>
        <w:t>муниципального района от 27.12.2021г. № 54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, в течение двух лет со дня увольнения с </w:t>
      </w:r>
      <w:proofErr w:type="gramStart"/>
      <w:r w:rsidRPr="00B02C82">
        <w:rPr>
          <w:rFonts w:ascii="Times New Roman" w:hAnsi="Times New Roman" w:cs="Times New Roman"/>
          <w:b w:val="0"/>
          <w:szCs w:val="26"/>
          <w:lang w:eastAsia="ru-RU"/>
        </w:rPr>
        <w:t>муниципальной</w:t>
      </w:r>
      <w:proofErr w:type="gramEnd"/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 службы:</w:t>
      </w:r>
    </w:p>
    <w:p w:rsidR="00B02C82" w:rsidRPr="00B02C82" w:rsidRDefault="00B02C82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"/>
      <w:bookmarkEnd w:id="0"/>
      <w:proofErr w:type="gramStart"/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служащих и урегулированию конфликта интересов, которое дается в порядке, установленном положениями </w:t>
      </w:r>
      <w:proofErr w:type="gramStart"/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комиссии;</w:t>
      </w:r>
    </w:p>
    <w:p w:rsidR="00B02C82" w:rsidRPr="00B02C82" w:rsidRDefault="00CB748E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ar2" w:history="1">
        <w:r w:rsidR="00E771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</w:t>
        </w:r>
        <w:r w:rsidR="00B02C82" w:rsidRPr="00B02C8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</w:hyperlink>
      <w:r w:rsidR="00E771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сообщать работодателю сведения о последнем месте муниципальной службы </w:t>
      </w:r>
      <w:r w:rsidR="009B0B66" w:rsidRPr="009B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с соблюдением законодательства Российской Федерации о государственной тайне.</w:t>
      </w:r>
    </w:p>
    <w:p w:rsidR="009B0B66" w:rsidRPr="009B0B66" w:rsidRDefault="009B0B66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9B0B66">
        <w:rPr>
          <w:rFonts w:ascii="Times New Roman" w:eastAsia="Times New Roman" w:hAnsi="Times New Roman" w:cs="Times New Roman"/>
          <w:sz w:val="26"/>
          <w:szCs w:val="24"/>
          <w:lang w:eastAsia="ru-RU"/>
        </w:rPr>
        <w:t>.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разместить на официальном сайте администрации в сети «Интернет»</w:t>
      </w:r>
      <w:r w:rsidRPr="009B0B66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02C82" w:rsidRDefault="00B02C82" w:rsidP="0086039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39B" w:rsidRDefault="0086039B" w:rsidP="0086039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Подгоренского 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района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Р.Н.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Береснев</w:t>
      </w:r>
      <w:proofErr w:type="spellEnd"/>
      <w:r w:rsidRPr="0086039B">
        <w:rPr>
          <w:rFonts w:ascii="Arial" w:eastAsia="Times New Roman" w:hAnsi="Arial" w:cs="Arial"/>
          <w:b/>
          <w:sz w:val="26"/>
          <w:szCs w:val="24"/>
          <w:lang w:eastAsia="ru-RU"/>
        </w:rPr>
        <w:tab/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86039B" w:rsidRPr="0086039B" w:rsidRDefault="0086039B" w:rsidP="00860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Председатель Совета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народных депутатов Подгоренского 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муниципального района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О.Н. </w:t>
      </w:r>
      <w:proofErr w:type="spellStart"/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Хиценко</w:t>
      </w:r>
      <w:proofErr w:type="spellEnd"/>
    </w:p>
    <w:p w:rsidR="0086039B" w:rsidRPr="00B02C82" w:rsidRDefault="0086039B" w:rsidP="00B02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738" w:rsidRDefault="00A73738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748E" w:rsidSect="007474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6"/>
    <w:rsid w:val="000535A4"/>
    <w:rsid w:val="00102D60"/>
    <w:rsid w:val="003868E6"/>
    <w:rsid w:val="003956A7"/>
    <w:rsid w:val="00487774"/>
    <w:rsid w:val="004F422A"/>
    <w:rsid w:val="00561141"/>
    <w:rsid w:val="00587543"/>
    <w:rsid w:val="006F1E6C"/>
    <w:rsid w:val="0074175C"/>
    <w:rsid w:val="0074749F"/>
    <w:rsid w:val="0086039B"/>
    <w:rsid w:val="009B0B66"/>
    <w:rsid w:val="009C6837"/>
    <w:rsid w:val="00A73738"/>
    <w:rsid w:val="00AA50D5"/>
    <w:rsid w:val="00B02C82"/>
    <w:rsid w:val="00B25FD6"/>
    <w:rsid w:val="00B87B28"/>
    <w:rsid w:val="00C12316"/>
    <w:rsid w:val="00CB748E"/>
    <w:rsid w:val="00D576EE"/>
    <w:rsid w:val="00D7569D"/>
    <w:rsid w:val="00E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9F"/>
    <w:rPr>
      <w:rFonts w:ascii="Tahoma" w:hAnsi="Tahoma" w:cs="Tahoma"/>
      <w:sz w:val="16"/>
      <w:szCs w:val="16"/>
    </w:rPr>
  </w:style>
  <w:style w:type="paragraph" w:customStyle="1" w:styleId="2">
    <w:name w:val="2Название"/>
    <w:basedOn w:val="a"/>
    <w:link w:val="20"/>
    <w:qFormat/>
    <w:rsid w:val="009C683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C6837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9F"/>
    <w:rPr>
      <w:rFonts w:ascii="Tahoma" w:hAnsi="Tahoma" w:cs="Tahoma"/>
      <w:sz w:val="16"/>
      <w:szCs w:val="16"/>
    </w:rPr>
  </w:style>
  <w:style w:type="paragraph" w:customStyle="1" w:styleId="2">
    <w:name w:val="2Название"/>
    <w:basedOn w:val="a"/>
    <w:link w:val="20"/>
    <w:qFormat/>
    <w:rsid w:val="009C683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C6837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Антон А. Любченко</cp:lastModifiedBy>
  <cp:revision>10</cp:revision>
  <cp:lastPrinted>2022-06-02T13:27:00Z</cp:lastPrinted>
  <dcterms:created xsi:type="dcterms:W3CDTF">2022-06-02T07:10:00Z</dcterms:created>
  <dcterms:modified xsi:type="dcterms:W3CDTF">2022-06-09T05:48:00Z</dcterms:modified>
</cp:coreProperties>
</file>